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6F" w:rsidRPr="002519E9" w:rsidRDefault="00F75C6F" w:rsidP="002519E9">
      <w:pPr>
        <w:pStyle w:val="NormalWeb"/>
        <w:spacing w:before="0" w:beforeAutospacing="0" w:after="0" w:afterAutospacing="0"/>
        <w:rPr>
          <w:color w:val="000000"/>
        </w:rPr>
      </w:pPr>
      <w:r w:rsidRPr="002519E9">
        <w:rPr>
          <w:rFonts w:hint="eastAsia"/>
          <w:b/>
          <w:bCs/>
          <w:color w:val="000000"/>
        </w:rPr>
        <w:t>《經歷》</w:t>
      </w:r>
    </w:p>
    <w:p w:rsidR="00F75C6F" w:rsidRPr="002519E9" w:rsidRDefault="00F75C6F" w:rsidP="002519E9">
      <w:pPr>
        <w:spacing w:line="240" w:lineRule="auto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1. </w:t>
      </w:r>
      <w:r w:rsidRPr="002519E9">
        <w:rPr>
          <w:rFonts w:hint="eastAsia"/>
          <w:color w:val="000000"/>
          <w:szCs w:val="24"/>
        </w:rPr>
        <w:t>資誠會計師事務所審計服務部專任審計員</w:t>
      </w:r>
    </w:p>
    <w:p w:rsidR="00F75C6F" w:rsidRPr="002519E9" w:rsidRDefault="00F75C6F" w:rsidP="002519E9">
      <w:pPr>
        <w:spacing w:line="240" w:lineRule="auto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2. </w:t>
      </w:r>
      <w:r w:rsidRPr="002519E9">
        <w:rPr>
          <w:rFonts w:hint="eastAsia"/>
          <w:color w:val="000000"/>
          <w:szCs w:val="24"/>
        </w:rPr>
        <w:t>大慶高級商工職業學校會計室專任副組長</w:t>
      </w:r>
    </w:p>
    <w:p w:rsidR="00F75C6F" w:rsidRPr="002519E9" w:rsidRDefault="00F75C6F" w:rsidP="002519E9">
      <w:pPr>
        <w:spacing w:line="240" w:lineRule="auto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3. </w:t>
      </w:r>
      <w:r w:rsidRPr="002519E9">
        <w:rPr>
          <w:rFonts w:hint="eastAsia"/>
          <w:color w:val="000000"/>
          <w:szCs w:val="24"/>
        </w:rPr>
        <w:t>育達商業技術學院行銷流通系兼任講師</w:t>
      </w:r>
    </w:p>
    <w:p w:rsidR="00F75C6F" w:rsidRPr="002519E9" w:rsidRDefault="00F75C6F" w:rsidP="002519E9">
      <w:pPr>
        <w:spacing w:line="240" w:lineRule="auto"/>
        <w:rPr>
          <w:color w:val="000000"/>
          <w:szCs w:val="24"/>
        </w:rPr>
      </w:pPr>
    </w:p>
    <w:p w:rsidR="00F75C6F" w:rsidRPr="002519E9" w:rsidRDefault="00F75C6F" w:rsidP="002519E9">
      <w:pPr>
        <w:spacing w:line="240" w:lineRule="auto"/>
        <w:rPr>
          <w:color w:val="000000"/>
          <w:szCs w:val="24"/>
        </w:rPr>
      </w:pPr>
    </w:p>
    <w:p w:rsidR="00F75C6F" w:rsidRPr="002519E9" w:rsidRDefault="00F75C6F" w:rsidP="002519E9">
      <w:pPr>
        <w:pStyle w:val="NormalWeb"/>
        <w:spacing w:before="0" w:beforeAutospacing="0" w:after="0" w:afterAutospacing="0"/>
        <w:rPr>
          <w:color w:val="000000"/>
        </w:rPr>
      </w:pPr>
      <w:r w:rsidRPr="002519E9">
        <w:rPr>
          <w:rFonts w:hint="eastAsia"/>
          <w:b/>
          <w:bCs/>
          <w:color w:val="000000"/>
        </w:rPr>
        <w:t>《論著》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rFonts w:hint="eastAsia"/>
          <w:b/>
          <w:bCs/>
          <w:color w:val="000000"/>
          <w:szCs w:val="24"/>
        </w:rPr>
        <w:t>期刊論文：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1.</w:t>
      </w:r>
      <w:r w:rsidRPr="002519E9">
        <w:rPr>
          <w:rFonts w:hint="eastAsia"/>
          <w:color w:val="000000"/>
          <w:szCs w:val="24"/>
        </w:rPr>
        <w:t>鄭育書（</w:t>
      </w:r>
      <w:r w:rsidRPr="002519E9">
        <w:rPr>
          <w:color w:val="000000"/>
          <w:szCs w:val="24"/>
        </w:rPr>
        <w:t>2010</w:t>
      </w:r>
      <w:r w:rsidRPr="002519E9">
        <w:rPr>
          <w:rFonts w:hint="eastAsia"/>
          <w:color w:val="000000"/>
          <w:szCs w:val="24"/>
        </w:rPr>
        <w:t>），</w:t>
      </w:r>
      <w:r w:rsidRPr="002519E9">
        <w:rPr>
          <w:color w:val="000000"/>
          <w:szCs w:val="24"/>
        </w:rPr>
        <w:t>"Threshold Relationships among Earnings Management, Business Default Risk and Stock Pledge Ratio of Directors" The Empirical Economic Letters  ,</w:t>
      </w:r>
      <w:r w:rsidRPr="002519E9">
        <w:rPr>
          <w:rFonts w:hint="eastAsia"/>
          <w:color w:val="000000"/>
          <w:szCs w:val="24"/>
        </w:rPr>
        <w:t>第</w:t>
      </w:r>
      <w:r w:rsidRPr="002519E9">
        <w:rPr>
          <w:color w:val="000000"/>
          <w:szCs w:val="24"/>
        </w:rPr>
        <w:t>8</w:t>
      </w:r>
      <w:r w:rsidRPr="002519E9">
        <w:rPr>
          <w:rFonts w:hint="eastAsia"/>
          <w:color w:val="000000"/>
          <w:szCs w:val="24"/>
        </w:rPr>
        <w:t>卷</w:t>
      </w:r>
      <w:r w:rsidRPr="002519E9">
        <w:rPr>
          <w:color w:val="000000"/>
          <w:szCs w:val="24"/>
        </w:rPr>
        <w:t xml:space="preserve"> </w:t>
      </w:r>
      <w:r w:rsidRPr="002519E9">
        <w:rPr>
          <w:rFonts w:hint="eastAsia"/>
          <w:color w:val="000000"/>
          <w:szCs w:val="24"/>
        </w:rPr>
        <w:t>，第</w:t>
      </w:r>
      <w:r w:rsidRPr="002519E9">
        <w:rPr>
          <w:color w:val="000000"/>
          <w:szCs w:val="24"/>
        </w:rPr>
        <w:t>11</w:t>
      </w:r>
      <w:r w:rsidRPr="002519E9">
        <w:rPr>
          <w:rFonts w:hint="eastAsia"/>
          <w:color w:val="000000"/>
          <w:szCs w:val="24"/>
        </w:rPr>
        <w:t>期，</w:t>
      </w:r>
      <w:r w:rsidRPr="002519E9">
        <w:rPr>
          <w:color w:val="000000"/>
          <w:szCs w:val="24"/>
        </w:rPr>
        <w:t>pp123~152 (EI)</w:t>
      </w:r>
      <w:r w:rsidRPr="002519E9">
        <w:rPr>
          <w:rFonts w:hint="eastAsia"/>
          <w:color w:val="000000"/>
          <w:szCs w:val="24"/>
        </w:rPr>
        <w:t>。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2.</w:t>
      </w:r>
      <w:r w:rsidRPr="002519E9">
        <w:rPr>
          <w:rFonts w:hint="eastAsia"/>
          <w:color w:val="000000"/>
          <w:szCs w:val="24"/>
        </w:rPr>
        <w:t>鄭育書（</w:t>
      </w:r>
      <w:r w:rsidRPr="002519E9">
        <w:rPr>
          <w:color w:val="000000"/>
          <w:szCs w:val="24"/>
        </w:rPr>
        <w:t>2010</w:t>
      </w:r>
      <w:r w:rsidRPr="002519E9">
        <w:rPr>
          <w:rFonts w:hint="eastAsia"/>
          <w:color w:val="000000"/>
          <w:szCs w:val="24"/>
        </w:rPr>
        <w:t>），</w:t>
      </w:r>
      <w:r w:rsidRPr="002519E9">
        <w:rPr>
          <w:color w:val="000000"/>
          <w:szCs w:val="24"/>
        </w:rPr>
        <w:t>"Capital Structure and Firm Value in China: A Panel Threshold Regression Analysis" African Journal of Business Management ,</w:t>
      </w:r>
      <w:r w:rsidRPr="002519E9">
        <w:rPr>
          <w:rFonts w:hint="eastAsia"/>
          <w:color w:val="000000"/>
          <w:szCs w:val="24"/>
        </w:rPr>
        <w:t>第</w:t>
      </w:r>
      <w:r w:rsidRPr="002519E9">
        <w:rPr>
          <w:color w:val="000000"/>
          <w:szCs w:val="24"/>
        </w:rPr>
        <w:t>4</w:t>
      </w:r>
      <w:r w:rsidRPr="002519E9">
        <w:rPr>
          <w:rFonts w:hint="eastAsia"/>
          <w:color w:val="000000"/>
          <w:szCs w:val="24"/>
        </w:rPr>
        <w:t>卷</w:t>
      </w:r>
      <w:r w:rsidRPr="002519E9">
        <w:rPr>
          <w:color w:val="000000"/>
          <w:szCs w:val="24"/>
        </w:rPr>
        <w:t xml:space="preserve"> </w:t>
      </w:r>
      <w:r w:rsidRPr="002519E9">
        <w:rPr>
          <w:rFonts w:hint="eastAsia"/>
          <w:color w:val="000000"/>
          <w:szCs w:val="24"/>
        </w:rPr>
        <w:t>，第</w:t>
      </w:r>
      <w:r w:rsidRPr="002519E9">
        <w:rPr>
          <w:color w:val="000000"/>
          <w:szCs w:val="24"/>
        </w:rPr>
        <w:t>12</w:t>
      </w:r>
      <w:r w:rsidRPr="002519E9">
        <w:rPr>
          <w:rFonts w:hint="eastAsia"/>
          <w:color w:val="000000"/>
          <w:szCs w:val="24"/>
        </w:rPr>
        <w:t>期，</w:t>
      </w:r>
      <w:r w:rsidRPr="002519E9">
        <w:rPr>
          <w:color w:val="000000"/>
          <w:szCs w:val="24"/>
        </w:rPr>
        <w:t>pp2500~2507 (SSCI)</w:t>
      </w:r>
      <w:r w:rsidRPr="002519E9">
        <w:rPr>
          <w:rFonts w:hint="eastAsia"/>
          <w:color w:val="000000"/>
          <w:szCs w:val="24"/>
        </w:rPr>
        <w:t>。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3. Tang, X. X., Liu, Y. P., and Cheng, Y. S. (2009). "Does the Insiders’ Share Collateralization Affect a Firm’s Opportunistic Behavior?"  International Research Journal of Finance and Economics. Issu27. pp19-28. (EconLit)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4. Cheng, Y. S., Liu, Y. P., and Chien, C. Y. (2009). "The Association between Auditor Quality and Human Capital."  Managerial Auditing Journal. Vol.24 Issue 6 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5. Chen, Y. S., Cheng, Y. S., and Liu, Y. P. (2009). "The Optimal Strategy of Performance Creation: Evidence from the Chinese Accounting Firms. The International Journal of Business and Finance Research. (Forthcoming) (EconLit)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6. Cheng, Y. S., and Liu, Y. P. (2008). "Does a Change in Debt Structure Matter in Earnings Management? " , --The Application of Nonlinear Panel Threshold Test. Economics Bulletin 13(4) , pp 1-10. (EconLit)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7. Chen, Y. S., and Cheng, Y. S. (2008). "Strategic Role of Size and Quality in Performance Creation: Evidence from </w:t>
      </w:r>
      <w:smartTag w:uri="urn:schemas-microsoft-com:office:smarttags" w:element="place">
        <w:smartTag w:uri="urn:schemas-microsoft-com:office:smarttags" w:element="country-region">
          <w:r w:rsidRPr="002519E9">
            <w:rPr>
              <w:color w:val="000000"/>
              <w:szCs w:val="24"/>
            </w:rPr>
            <w:t>Taiwan</w:t>
          </w:r>
        </w:smartTag>
      </w:smartTag>
      <w:r w:rsidRPr="002519E9">
        <w:rPr>
          <w:color w:val="000000"/>
          <w:szCs w:val="24"/>
        </w:rPr>
        <w:t xml:space="preserve">’s Sole Proprietorship Audit Firms. " </w:t>
      </w:r>
      <w:r w:rsidRPr="002519E9">
        <w:rPr>
          <w:rFonts w:hint="eastAsia"/>
          <w:color w:val="000000"/>
          <w:szCs w:val="24"/>
        </w:rPr>
        <w:t>人力資源管理學報</w:t>
      </w:r>
      <w:r w:rsidRPr="002519E9">
        <w:rPr>
          <w:color w:val="000000"/>
          <w:szCs w:val="24"/>
        </w:rPr>
        <w:t xml:space="preserve">. </w:t>
      </w:r>
      <w:r w:rsidRPr="002519E9">
        <w:rPr>
          <w:rFonts w:hint="eastAsia"/>
          <w:color w:val="000000"/>
          <w:szCs w:val="24"/>
        </w:rPr>
        <w:t>第</w:t>
      </w:r>
      <w:r w:rsidRPr="002519E9">
        <w:rPr>
          <w:color w:val="000000"/>
          <w:szCs w:val="24"/>
        </w:rPr>
        <w:t>8</w:t>
      </w:r>
      <w:r w:rsidRPr="002519E9">
        <w:rPr>
          <w:rFonts w:hint="eastAsia"/>
          <w:color w:val="000000"/>
          <w:szCs w:val="24"/>
        </w:rPr>
        <w:t>卷第</w:t>
      </w:r>
      <w:r w:rsidRPr="002519E9">
        <w:rPr>
          <w:color w:val="000000"/>
          <w:szCs w:val="24"/>
        </w:rPr>
        <w:t>3</w:t>
      </w:r>
      <w:r w:rsidRPr="002519E9">
        <w:rPr>
          <w:rFonts w:hint="eastAsia"/>
          <w:color w:val="000000"/>
          <w:szCs w:val="24"/>
        </w:rPr>
        <w:t>期，</w:t>
      </w:r>
      <w:r w:rsidRPr="002519E9">
        <w:rPr>
          <w:color w:val="000000"/>
          <w:szCs w:val="24"/>
        </w:rPr>
        <w:t>pp73-93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8. </w:t>
      </w:r>
      <w:r w:rsidRPr="002519E9">
        <w:rPr>
          <w:rFonts w:hint="eastAsia"/>
          <w:color w:val="000000"/>
          <w:szCs w:val="24"/>
        </w:rPr>
        <w:t>鄭育書與劉沂佩</w:t>
      </w:r>
      <w:r w:rsidRPr="002519E9">
        <w:rPr>
          <w:color w:val="000000"/>
          <w:szCs w:val="24"/>
        </w:rPr>
        <w:t xml:space="preserve">. 2008. </w:t>
      </w:r>
      <w:r w:rsidRPr="002519E9">
        <w:rPr>
          <w:rFonts w:hint="eastAsia"/>
          <w:color w:val="000000"/>
          <w:szCs w:val="24"/>
        </w:rPr>
        <w:t>企業失敗預測模型研究</w:t>
      </w:r>
      <w:r w:rsidRPr="002519E9">
        <w:rPr>
          <w:color w:val="000000"/>
          <w:szCs w:val="24"/>
        </w:rPr>
        <w:t>--</w:t>
      </w:r>
      <w:r w:rsidRPr="002519E9">
        <w:rPr>
          <w:rFonts w:hint="eastAsia"/>
          <w:color w:val="000000"/>
          <w:szCs w:val="24"/>
        </w:rPr>
        <w:t>來自台灣的證據</w:t>
      </w:r>
      <w:r w:rsidRPr="002519E9">
        <w:rPr>
          <w:color w:val="000000"/>
          <w:szCs w:val="24"/>
        </w:rPr>
        <w:t xml:space="preserve">. </w:t>
      </w:r>
      <w:r w:rsidRPr="002519E9">
        <w:rPr>
          <w:rFonts w:hint="eastAsia"/>
          <w:color w:val="000000"/>
          <w:szCs w:val="24"/>
        </w:rPr>
        <w:t>管理科學</w:t>
      </w:r>
      <w:r w:rsidRPr="002519E9">
        <w:rPr>
          <w:color w:val="000000"/>
          <w:szCs w:val="24"/>
        </w:rPr>
        <w:t xml:space="preserve"> 21(4):pp.82-95. (CSSCI)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9. </w:t>
      </w:r>
      <w:r w:rsidRPr="002519E9">
        <w:rPr>
          <w:rFonts w:hint="eastAsia"/>
          <w:color w:val="000000"/>
          <w:szCs w:val="24"/>
        </w:rPr>
        <w:t>林金賢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劉沂佩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鄭育書與陳育成</w:t>
      </w:r>
      <w:r w:rsidRPr="002519E9">
        <w:rPr>
          <w:color w:val="000000"/>
          <w:szCs w:val="24"/>
        </w:rPr>
        <w:t xml:space="preserve">. 2004. </w:t>
      </w:r>
      <w:r w:rsidRPr="002519E9">
        <w:rPr>
          <w:rFonts w:hint="eastAsia"/>
          <w:color w:val="000000"/>
          <w:szCs w:val="24"/>
        </w:rPr>
        <w:t>具學習性之模糊專家系統在財務危機上之應用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管理學報</w:t>
      </w:r>
      <w:r w:rsidRPr="002519E9">
        <w:rPr>
          <w:color w:val="000000"/>
          <w:szCs w:val="24"/>
        </w:rPr>
        <w:t xml:space="preserve"> 21(3):pp. 291-309. (TSSCI).</w:t>
      </w:r>
    </w:p>
    <w:p w:rsidR="00F75C6F" w:rsidRPr="002519E9" w:rsidRDefault="00F75C6F" w:rsidP="002519E9">
      <w:pPr>
        <w:spacing w:line="240" w:lineRule="auto"/>
        <w:rPr>
          <w:color w:val="000000"/>
          <w:szCs w:val="24"/>
        </w:rPr>
      </w:pPr>
      <w:r w:rsidRPr="002519E9">
        <w:rPr>
          <w:color w:val="000000"/>
          <w:szCs w:val="24"/>
        </w:rPr>
        <w:br w:type="textWrapping" w:clear="all"/>
        <w:t> 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 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rFonts w:hint="eastAsia"/>
          <w:b/>
          <w:bCs/>
          <w:color w:val="000000"/>
          <w:szCs w:val="24"/>
        </w:rPr>
        <w:t>研討會論文：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1.</w:t>
      </w:r>
      <w:r w:rsidRPr="002519E9">
        <w:rPr>
          <w:rFonts w:hint="eastAsia"/>
          <w:color w:val="000000"/>
          <w:szCs w:val="24"/>
        </w:rPr>
        <w:t>陳燕錫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鄭育書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劉沂佩</w:t>
      </w:r>
      <w:r w:rsidRPr="002519E9">
        <w:rPr>
          <w:color w:val="000000"/>
          <w:szCs w:val="24"/>
        </w:rPr>
        <w:t>. 2009. The Optimal Strategy of Performance Creation: Evidence from the Chinese Accounting Firms. 2009</w:t>
      </w:r>
      <w:r w:rsidRPr="002519E9">
        <w:rPr>
          <w:rFonts w:hint="eastAsia"/>
          <w:color w:val="000000"/>
          <w:szCs w:val="24"/>
        </w:rPr>
        <w:t>第十三屆兩岸會計與管理學術研討會</w:t>
      </w:r>
      <w:r w:rsidRPr="002519E9">
        <w:rPr>
          <w:color w:val="000000"/>
          <w:szCs w:val="24"/>
        </w:rPr>
        <w:t xml:space="preserve">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09"/>
        </w:smartTagPr>
        <w:r w:rsidRPr="002519E9">
          <w:rPr>
            <w:color w:val="000000"/>
            <w:szCs w:val="24"/>
          </w:rPr>
          <w:t>2009/05/22</w:t>
        </w:r>
      </w:smartTag>
      <w:r w:rsidRPr="002519E9">
        <w:rPr>
          <w:color w:val="000000"/>
          <w:szCs w:val="24"/>
        </w:rPr>
        <w:t xml:space="preserve">. </w:t>
      </w:r>
      <w:r w:rsidRPr="002519E9">
        <w:rPr>
          <w:rFonts w:hint="eastAsia"/>
          <w:color w:val="000000"/>
          <w:szCs w:val="24"/>
        </w:rPr>
        <w:t>台北淡江大學</w:t>
      </w:r>
      <w:r w:rsidRPr="002519E9">
        <w:rPr>
          <w:color w:val="000000"/>
          <w:szCs w:val="24"/>
        </w:rPr>
        <w:t>. (forthcoming)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2. Chen, Y. S., and Cheng, Y. S. 2009. The Association among Auditor Quality, Size and Operating Performance: Evidence from Taiwanese Audit Firms. 2009 Accounting and Finance Association of </w:t>
      </w:r>
      <w:smartTag w:uri="urn:schemas-microsoft-com:office:smarttags" w:element="country-region">
        <w:r w:rsidRPr="002519E9">
          <w:rPr>
            <w:color w:val="000000"/>
            <w:szCs w:val="24"/>
          </w:rPr>
          <w:t>Australia</w:t>
        </w:r>
      </w:smartTag>
      <w:r w:rsidRPr="002519E9">
        <w:rPr>
          <w:color w:val="000000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2519E9">
            <w:rPr>
              <w:color w:val="000000"/>
              <w:szCs w:val="24"/>
            </w:rPr>
            <w:t>New Zealand</w:t>
          </w:r>
        </w:smartTag>
      </w:smartTag>
      <w:r w:rsidRPr="002519E9">
        <w:rPr>
          <w:color w:val="000000"/>
          <w:szCs w:val="24"/>
        </w:rPr>
        <w:t xml:space="preserve"> (AFAANZ) Conference. 2009/0705-07. </w:t>
      </w:r>
      <w:smartTag w:uri="urn:schemas-microsoft-com:office:smarttags" w:element="place">
        <w:smartTag w:uri="urn:schemas-microsoft-com:office:smarttags" w:element="City">
          <w:r w:rsidRPr="002519E9">
            <w:rPr>
              <w:color w:val="000000"/>
              <w:szCs w:val="24"/>
            </w:rPr>
            <w:t>Adelaide</w:t>
          </w:r>
        </w:smartTag>
        <w:r w:rsidRPr="002519E9">
          <w:rPr>
            <w:color w:val="000000"/>
            <w:szCs w:val="24"/>
          </w:rPr>
          <w:t xml:space="preserve">, </w:t>
        </w:r>
        <w:smartTag w:uri="urn:schemas-microsoft-com:office:smarttags" w:element="country-region">
          <w:r w:rsidRPr="002519E9">
            <w:rPr>
              <w:color w:val="000000"/>
              <w:szCs w:val="24"/>
            </w:rPr>
            <w:t>Australia</w:t>
          </w:r>
        </w:smartTag>
      </w:smartTag>
      <w:r w:rsidRPr="002519E9">
        <w:rPr>
          <w:color w:val="000000"/>
          <w:szCs w:val="24"/>
        </w:rPr>
        <w:t>. (forthcoming)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3. Cheng, Y. S., and Liu, Y. P. 2008. Quality and Human Factors in the Public Accounting Firms. American Accounting Association (AAA) 2008 </w:t>
      </w:r>
      <w:smartTag w:uri="urn:schemas-microsoft-com:office:smarttags" w:element="place">
        <w:r w:rsidRPr="002519E9">
          <w:rPr>
            <w:color w:val="000000"/>
            <w:szCs w:val="24"/>
          </w:rPr>
          <w:t>Midwest</w:t>
        </w:r>
      </w:smartTag>
      <w:r w:rsidRPr="002519E9">
        <w:rPr>
          <w:color w:val="000000"/>
          <w:szCs w:val="24"/>
        </w:rPr>
        <w:t xml:space="preserve"> Regional Meeting.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08"/>
        </w:smartTagPr>
        <w:r w:rsidRPr="002519E9">
          <w:rPr>
            <w:color w:val="000000"/>
            <w:szCs w:val="24"/>
          </w:rPr>
          <w:t>2008/03/27</w:t>
        </w:r>
      </w:smartTag>
      <w:r w:rsidRPr="002519E9">
        <w:rPr>
          <w:color w:val="000000"/>
          <w:szCs w:val="24"/>
        </w:rPr>
        <w:t xml:space="preserve">-29. </w:t>
      </w:r>
      <w:smartTag w:uri="urn:schemas-microsoft-com:office:smarttags" w:element="place">
        <w:smartTag w:uri="urn:schemas-microsoft-com:office:smarttags" w:element="City">
          <w:r w:rsidRPr="002519E9">
            <w:rPr>
              <w:color w:val="000000"/>
              <w:szCs w:val="24"/>
            </w:rPr>
            <w:t>Detroit</w:t>
          </w:r>
        </w:smartTag>
      </w:smartTag>
      <w:r w:rsidRPr="002519E9">
        <w:rPr>
          <w:color w:val="000000"/>
          <w:szCs w:val="24"/>
        </w:rPr>
        <w:t>.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4. </w:t>
      </w:r>
      <w:r w:rsidRPr="002519E9">
        <w:rPr>
          <w:rFonts w:hint="eastAsia"/>
          <w:color w:val="000000"/>
          <w:szCs w:val="24"/>
        </w:rPr>
        <w:t>陳燕錫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鄭育書</w:t>
      </w:r>
      <w:r w:rsidRPr="002519E9">
        <w:rPr>
          <w:color w:val="000000"/>
          <w:szCs w:val="24"/>
        </w:rPr>
        <w:t xml:space="preserve">. 2008. Strategic Role of Size and Quality in Performance Creation: Evidence from </w:t>
      </w:r>
      <w:smartTag w:uri="urn:schemas-microsoft-com:office:smarttags" w:element="place">
        <w:smartTag w:uri="urn:schemas-microsoft-com:office:smarttags" w:element="country-region">
          <w:r w:rsidRPr="002519E9">
            <w:rPr>
              <w:color w:val="000000"/>
              <w:szCs w:val="24"/>
            </w:rPr>
            <w:t>Taiwan</w:t>
          </w:r>
        </w:smartTag>
      </w:smartTag>
      <w:r w:rsidRPr="002519E9">
        <w:rPr>
          <w:color w:val="000000"/>
          <w:szCs w:val="24"/>
        </w:rPr>
        <w:t xml:space="preserve">'s Sole Proprietorship Audit Firms. 2008 </w:t>
      </w:r>
      <w:r w:rsidRPr="002519E9">
        <w:rPr>
          <w:rFonts w:hint="eastAsia"/>
          <w:color w:val="000000"/>
          <w:szCs w:val="24"/>
        </w:rPr>
        <w:t>會計理論與實務研討會</w:t>
      </w:r>
      <w:r w:rsidRPr="002519E9">
        <w:rPr>
          <w:color w:val="000000"/>
          <w:szCs w:val="24"/>
        </w:rPr>
        <w:t xml:space="preserve">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2008"/>
        </w:smartTagPr>
        <w:r w:rsidRPr="002519E9">
          <w:rPr>
            <w:color w:val="000000"/>
            <w:szCs w:val="24"/>
          </w:rPr>
          <w:t>2008/12/04</w:t>
        </w:r>
      </w:smartTag>
      <w:r w:rsidRPr="002519E9">
        <w:rPr>
          <w:color w:val="000000"/>
          <w:szCs w:val="24"/>
        </w:rPr>
        <w:t xml:space="preserve">-05, </w:t>
      </w:r>
      <w:r w:rsidRPr="002519E9">
        <w:rPr>
          <w:rFonts w:hint="eastAsia"/>
          <w:color w:val="000000"/>
          <w:szCs w:val="24"/>
        </w:rPr>
        <w:t>台中中興大學</w:t>
      </w:r>
      <w:r w:rsidRPr="002519E9">
        <w:rPr>
          <w:color w:val="000000"/>
          <w:szCs w:val="24"/>
        </w:rPr>
        <w:t>.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5. </w:t>
      </w:r>
      <w:r w:rsidRPr="002519E9">
        <w:rPr>
          <w:rFonts w:hint="eastAsia"/>
          <w:color w:val="000000"/>
          <w:szCs w:val="24"/>
        </w:rPr>
        <w:t>陳燕錫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鄭育書</w:t>
      </w:r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劉沂佩</w:t>
      </w:r>
      <w:r w:rsidRPr="002519E9">
        <w:rPr>
          <w:color w:val="000000"/>
          <w:szCs w:val="24"/>
        </w:rPr>
        <w:t xml:space="preserve">. 2007. </w:t>
      </w:r>
      <w:r w:rsidRPr="002519E9">
        <w:rPr>
          <w:rFonts w:hint="eastAsia"/>
          <w:color w:val="000000"/>
          <w:szCs w:val="24"/>
        </w:rPr>
        <w:t>從會計師事務所觀點探討事務所規模、審計品質與經營績效之關聯性</w:t>
      </w:r>
      <w:r w:rsidRPr="002519E9">
        <w:rPr>
          <w:color w:val="000000"/>
          <w:szCs w:val="24"/>
        </w:rPr>
        <w:t>. 2007</w:t>
      </w:r>
      <w:r w:rsidRPr="002519E9">
        <w:rPr>
          <w:rFonts w:hint="eastAsia"/>
          <w:color w:val="000000"/>
          <w:szCs w:val="24"/>
        </w:rPr>
        <w:t>現代會計論壇學術研討會</w:t>
      </w:r>
      <w:r w:rsidRPr="002519E9">
        <w:rPr>
          <w:color w:val="000000"/>
          <w:szCs w:val="24"/>
        </w:rPr>
        <w:t xml:space="preserve">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7"/>
        </w:smartTagPr>
        <w:r w:rsidRPr="002519E9">
          <w:rPr>
            <w:color w:val="000000"/>
            <w:szCs w:val="24"/>
          </w:rPr>
          <w:t>2007/05/04</w:t>
        </w:r>
      </w:smartTag>
      <w:r w:rsidRPr="002519E9">
        <w:rPr>
          <w:color w:val="000000"/>
          <w:szCs w:val="24"/>
        </w:rPr>
        <w:t xml:space="preserve">, </w:t>
      </w:r>
      <w:r w:rsidRPr="002519E9">
        <w:rPr>
          <w:rFonts w:hint="eastAsia"/>
          <w:color w:val="000000"/>
          <w:szCs w:val="24"/>
        </w:rPr>
        <w:t>台中逢甲大學</w:t>
      </w:r>
      <w:r w:rsidRPr="002519E9">
        <w:rPr>
          <w:color w:val="000000"/>
          <w:szCs w:val="24"/>
        </w:rPr>
        <w:t>.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6. Liu, Y. P., and Cheng, Y. S. 2007. The Impact of Variable Structure Changes on Earnings Management. American Accounting Association (AAA) 2007 Annual Meeting.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07"/>
        </w:smartTagPr>
        <w:r w:rsidRPr="002519E9">
          <w:rPr>
            <w:color w:val="000000"/>
            <w:szCs w:val="24"/>
          </w:rPr>
          <w:t>2007/08/05</w:t>
        </w:r>
      </w:smartTag>
      <w:r w:rsidRPr="002519E9">
        <w:rPr>
          <w:color w:val="000000"/>
          <w:szCs w:val="24"/>
        </w:rPr>
        <w:t xml:space="preserve">-08. </w:t>
      </w:r>
      <w:smartTag w:uri="urn:schemas-microsoft-com:office:smarttags" w:element="place">
        <w:smartTag w:uri="urn:schemas-microsoft-com:office:smarttags" w:element="City">
          <w:r w:rsidRPr="002519E9">
            <w:rPr>
              <w:color w:val="000000"/>
              <w:szCs w:val="24"/>
            </w:rPr>
            <w:t>Chicago</w:t>
          </w:r>
        </w:smartTag>
      </w:smartTag>
      <w:r w:rsidRPr="002519E9">
        <w:rPr>
          <w:color w:val="000000"/>
          <w:szCs w:val="24"/>
        </w:rPr>
        <w:t>.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7. Chen, Y. S., and Cheng, Y. S. 2007. Size, Audit Quality, and Operating Performance of Proprietorship Audit Firm: Perspective of Life Cycle. 19th Asian-Pacific Conference (APC) on International Accounting Issues.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07"/>
        </w:smartTagPr>
        <w:r w:rsidRPr="002519E9">
          <w:rPr>
            <w:color w:val="000000"/>
            <w:szCs w:val="24"/>
          </w:rPr>
          <w:t>2007/11/11</w:t>
        </w:r>
      </w:smartTag>
      <w:r w:rsidRPr="002519E9">
        <w:rPr>
          <w:color w:val="000000"/>
          <w:szCs w:val="24"/>
        </w:rPr>
        <w:t xml:space="preserve">-14. </w:t>
      </w:r>
      <w:smartTag w:uri="urn:schemas-microsoft-com:office:smarttags" w:element="place">
        <w:smartTag w:uri="urn:schemas-microsoft-com:office:smarttags" w:element="country-region">
          <w:r w:rsidRPr="002519E9">
            <w:rPr>
              <w:color w:val="000000"/>
              <w:szCs w:val="24"/>
            </w:rPr>
            <w:t>Malaysia</w:t>
          </w:r>
        </w:smartTag>
      </w:smartTag>
      <w:r w:rsidRPr="002519E9">
        <w:rPr>
          <w:color w:val="000000"/>
          <w:szCs w:val="24"/>
        </w:rPr>
        <w:t>.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 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> 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rFonts w:hint="eastAsia"/>
          <w:b/>
          <w:bCs/>
          <w:color w:val="000000"/>
          <w:szCs w:val="24"/>
        </w:rPr>
        <w:t>計劃：</w:t>
      </w:r>
    </w:p>
    <w:p w:rsidR="00F75C6F" w:rsidRPr="002519E9" w:rsidRDefault="00F75C6F" w:rsidP="002519E9">
      <w:pPr>
        <w:spacing w:line="240" w:lineRule="auto"/>
        <w:ind w:left="240" w:hanging="240"/>
        <w:rPr>
          <w:color w:val="000000"/>
          <w:szCs w:val="24"/>
        </w:rPr>
      </w:pPr>
      <w:r w:rsidRPr="002519E9">
        <w:rPr>
          <w:color w:val="000000"/>
          <w:szCs w:val="24"/>
        </w:rPr>
        <w:t xml:space="preserve">1. </w:t>
      </w:r>
      <w:r w:rsidRPr="002519E9">
        <w:rPr>
          <w:rFonts w:hint="eastAsia"/>
          <w:color w:val="000000"/>
          <w:szCs w:val="24"/>
        </w:rPr>
        <w:t>內部控制與稽核制度研究計劃，宇梏工業股份有限公司（</w:t>
      </w:r>
      <w:r w:rsidRPr="002519E9">
        <w:rPr>
          <w:color w:val="000000"/>
          <w:szCs w:val="24"/>
        </w:rPr>
        <w:t>2009.10</w:t>
      </w:r>
      <w:r w:rsidRPr="002519E9">
        <w:rPr>
          <w:rFonts w:hint="eastAsia"/>
          <w:color w:val="000000"/>
          <w:szCs w:val="24"/>
        </w:rPr>
        <w:t>）</w:t>
      </w:r>
    </w:p>
    <w:p w:rsidR="00F75C6F" w:rsidRPr="002519E9" w:rsidRDefault="00F75C6F" w:rsidP="002519E9">
      <w:pPr>
        <w:spacing w:line="240" w:lineRule="auto"/>
        <w:rPr>
          <w:color w:val="000000"/>
          <w:szCs w:val="24"/>
        </w:rPr>
      </w:pPr>
    </w:p>
    <w:sectPr w:rsidR="00F75C6F" w:rsidRPr="002519E9" w:rsidSect="008C2B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EEF"/>
    <w:multiLevelType w:val="hybridMultilevel"/>
    <w:tmpl w:val="675816B2"/>
    <w:lvl w:ilvl="0" w:tplc="F6C69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8AD9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76D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667E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6EC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84F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C277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2A9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32F0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6421FC"/>
    <w:multiLevelType w:val="hybridMultilevel"/>
    <w:tmpl w:val="F77E315E"/>
    <w:lvl w:ilvl="0" w:tplc="2FF06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A31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2B6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665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4D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CDE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0F4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289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45F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F68B6"/>
    <w:multiLevelType w:val="hybridMultilevel"/>
    <w:tmpl w:val="AC4E9BCE"/>
    <w:lvl w:ilvl="0" w:tplc="D7CA01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4CF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65E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CFE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4CC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8B2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84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040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01F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97DE6"/>
    <w:multiLevelType w:val="hybridMultilevel"/>
    <w:tmpl w:val="863AD6F4"/>
    <w:lvl w:ilvl="0" w:tplc="F30836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8A3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2575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B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0FE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250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248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22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87F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9198E"/>
    <w:multiLevelType w:val="hybridMultilevel"/>
    <w:tmpl w:val="524A4706"/>
    <w:lvl w:ilvl="0" w:tplc="4792282A">
      <w:start w:val="2003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69123589"/>
    <w:multiLevelType w:val="hybridMultilevel"/>
    <w:tmpl w:val="32CE844E"/>
    <w:lvl w:ilvl="0" w:tplc="1018E4AC">
      <w:start w:val="1"/>
      <w:numFmt w:val="taiwaneseCountingThousand"/>
      <w:lvlText w:val="(%1)"/>
      <w:lvlJc w:val="left"/>
      <w:pPr>
        <w:ind w:left="49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D282EDC"/>
    <w:multiLevelType w:val="hybridMultilevel"/>
    <w:tmpl w:val="AE7EC5DA"/>
    <w:lvl w:ilvl="0" w:tplc="DBEEBC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444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EC9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E07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238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0DC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CA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AA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E40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5B"/>
    <w:rsid w:val="000D3175"/>
    <w:rsid w:val="000D433B"/>
    <w:rsid w:val="00107D9D"/>
    <w:rsid w:val="0013218E"/>
    <w:rsid w:val="00174B6D"/>
    <w:rsid w:val="001E4155"/>
    <w:rsid w:val="002519E9"/>
    <w:rsid w:val="00281259"/>
    <w:rsid w:val="002E0609"/>
    <w:rsid w:val="003A715E"/>
    <w:rsid w:val="00547577"/>
    <w:rsid w:val="00602C19"/>
    <w:rsid w:val="00850F38"/>
    <w:rsid w:val="00883406"/>
    <w:rsid w:val="00883E93"/>
    <w:rsid w:val="008C2BBC"/>
    <w:rsid w:val="00912DF6"/>
    <w:rsid w:val="00A32B98"/>
    <w:rsid w:val="00A61189"/>
    <w:rsid w:val="00BE123C"/>
    <w:rsid w:val="00D2255B"/>
    <w:rsid w:val="00F7262F"/>
    <w:rsid w:val="00F7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1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255B"/>
    <w:pPr>
      <w:widowControl/>
      <w:ind w:leftChars="200" w:left="480"/>
    </w:pPr>
    <w:rPr>
      <w:rFonts w:ascii="新細明體" w:eastAsia="新細明體" w:hAnsi="新細明體" w:cs="新細明體"/>
      <w:szCs w:val="24"/>
    </w:rPr>
  </w:style>
  <w:style w:type="paragraph" w:styleId="NormalWeb">
    <w:name w:val="Normal (Web)"/>
    <w:basedOn w:val="Normal"/>
    <w:uiPriority w:val="99"/>
    <w:rsid w:val="00883E9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Hyperlink">
    <w:name w:val="Hyperlink"/>
    <w:basedOn w:val="DefaultParagraphFont"/>
    <w:uiPriority w:val="99"/>
    <w:rsid w:val="00A61189"/>
    <w:rPr>
      <w:rFonts w:cs="Times New Roman"/>
      <w:color w:val="3366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740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739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737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741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444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經歷</dc:title>
  <dc:subject/>
  <dc:creator>knuuser</dc:creator>
  <cp:keywords/>
  <dc:description/>
  <cp:lastModifiedBy>user</cp:lastModifiedBy>
  <cp:revision>2</cp:revision>
  <dcterms:created xsi:type="dcterms:W3CDTF">2016-03-22T06:18:00Z</dcterms:created>
  <dcterms:modified xsi:type="dcterms:W3CDTF">2016-03-22T06:18:00Z</dcterms:modified>
</cp:coreProperties>
</file>